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D049" w14:textId="77777777" w:rsidR="00F14E28" w:rsidRPr="000E5254" w:rsidRDefault="00F14E28" w:rsidP="00F14E2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DAD132" wp14:editId="28C879B6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73025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D04A" w14:textId="77777777" w:rsidR="00F14E28" w:rsidRPr="000E5254" w:rsidRDefault="00F14E28" w:rsidP="00F14E28">
      <w:pPr>
        <w:rPr>
          <w:rFonts w:ascii="Arial" w:hAnsi="Arial" w:cs="Arial"/>
        </w:rPr>
      </w:pPr>
    </w:p>
    <w:p w14:paraId="3CDAD04B" w14:textId="77777777" w:rsidR="00F14E28" w:rsidRPr="000E5254" w:rsidRDefault="00F14E28" w:rsidP="00F14E28">
      <w:pPr>
        <w:rPr>
          <w:rFonts w:ascii="Arial" w:hAnsi="Arial" w:cs="Arial"/>
        </w:rPr>
      </w:pPr>
    </w:p>
    <w:p w14:paraId="3CDAD04C" w14:textId="77777777" w:rsidR="00F14E28" w:rsidRPr="000E5254" w:rsidRDefault="00F14E28" w:rsidP="00F14E28">
      <w:pPr>
        <w:rPr>
          <w:rFonts w:ascii="Arial" w:hAnsi="Arial" w:cs="Arial"/>
        </w:rPr>
      </w:pPr>
    </w:p>
    <w:p w14:paraId="3CDAD04D" w14:textId="77777777" w:rsidR="00F14E28" w:rsidRPr="000E5254" w:rsidRDefault="00F14E28" w:rsidP="00F14E28">
      <w:pPr>
        <w:rPr>
          <w:rFonts w:ascii="Arial" w:hAnsi="Arial" w:cs="Arial"/>
        </w:rPr>
      </w:pPr>
    </w:p>
    <w:p w14:paraId="3CDAD04E" w14:textId="77777777" w:rsidR="00F14E28" w:rsidRPr="000E5254" w:rsidRDefault="00F14E28" w:rsidP="00F14E28">
      <w:pPr>
        <w:rPr>
          <w:rFonts w:ascii="Arial" w:hAnsi="Arial" w:cs="Arial"/>
        </w:rPr>
      </w:pPr>
    </w:p>
    <w:p w14:paraId="3CDAD04F" w14:textId="77777777" w:rsidR="00F14E28" w:rsidRDefault="00F14E28" w:rsidP="00F14E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DAD050" w14:textId="77777777" w:rsidR="00F14E28" w:rsidRDefault="00F14E28" w:rsidP="00F14E28">
      <w:pPr>
        <w:ind w:firstLine="720"/>
        <w:rPr>
          <w:rFonts w:ascii="Comic Sans MS" w:hAnsi="Comic Sans MS" w:cs="Arial"/>
          <w:sz w:val="28"/>
          <w:szCs w:val="28"/>
        </w:rPr>
      </w:pPr>
      <w:r>
        <w:rPr>
          <w:b/>
          <w:color w:val="3366FF"/>
          <w:sz w:val="64"/>
          <w:szCs w:val="64"/>
        </w:rPr>
        <w:t xml:space="preserve">    </w:t>
      </w:r>
    </w:p>
    <w:p w14:paraId="3CDAD051" w14:textId="77777777" w:rsidR="00F14E28" w:rsidRDefault="00F14E28" w:rsidP="00F14E28">
      <w:pPr>
        <w:rPr>
          <w:rFonts w:ascii="Comic Sans MS" w:hAnsi="Comic Sans MS" w:cs="Arial"/>
          <w:sz w:val="28"/>
          <w:szCs w:val="28"/>
        </w:rPr>
      </w:pPr>
    </w:p>
    <w:p w14:paraId="3CDAD052" w14:textId="77777777" w:rsidR="00F14E28" w:rsidRPr="009D3DFE" w:rsidRDefault="00F14E28" w:rsidP="00F14E28">
      <w:pPr>
        <w:jc w:val="center"/>
        <w:rPr>
          <w:rFonts w:ascii="Calibri" w:hAnsi="Calibri" w:cs="Arial"/>
          <w:b/>
          <w:color w:val="FF0000"/>
          <w:sz w:val="48"/>
          <w:szCs w:val="48"/>
        </w:rPr>
      </w:pPr>
      <w:r>
        <w:rPr>
          <w:rFonts w:ascii="Calibri" w:hAnsi="Calibri" w:cs="Arial"/>
          <w:b/>
          <w:color w:val="FF0000"/>
          <w:sz w:val="48"/>
          <w:szCs w:val="48"/>
        </w:rPr>
        <w:t>Risk Assessment Policy</w:t>
      </w:r>
    </w:p>
    <w:p w14:paraId="3CDAD053" w14:textId="77777777" w:rsidR="00F14E28" w:rsidRPr="009D3DFE" w:rsidRDefault="00F14E28" w:rsidP="00F14E28">
      <w:pPr>
        <w:jc w:val="center"/>
        <w:rPr>
          <w:rFonts w:ascii="Calibri" w:hAnsi="Calibri" w:cs="Arial"/>
          <w:b/>
          <w:color w:val="FF0000"/>
        </w:rPr>
      </w:pPr>
    </w:p>
    <w:p w14:paraId="3CDAD054" w14:textId="371CEAA7" w:rsidR="00F14E28" w:rsidRPr="009D3DFE" w:rsidRDefault="00EA13CA" w:rsidP="00F14E28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Updated: January 202</w:t>
      </w:r>
      <w:r w:rsidR="00EB6461">
        <w:rPr>
          <w:rFonts w:ascii="Calibri" w:hAnsi="Calibri" w:cs="Arial"/>
          <w:b/>
          <w:color w:val="FF0000"/>
        </w:rPr>
        <w:t>2</w:t>
      </w:r>
    </w:p>
    <w:p w14:paraId="3CDAD055" w14:textId="49BCAC44" w:rsidR="00F14E28" w:rsidRPr="009D3DFE" w:rsidRDefault="00F14E28" w:rsidP="00F14E28">
      <w:pPr>
        <w:jc w:val="center"/>
        <w:rPr>
          <w:rFonts w:ascii="Calibri" w:hAnsi="Calibri" w:cs="Arial"/>
          <w:b/>
          <w:color w:val="FF0000"/>
        </w:rPr>
      </w:pPr>
      <w:r w:rsidRPr="009D3DFE">
        <w:rPr>
          <w:rFonts w:ascii="Calibri" w:hAnsi="Calibri" w:cs="Arial"/>
          <w:b/>
          <w:color w:val="FF0000"/>
        </w:rPr>
        <w:t xml:space="preserve">To be reviewed: </w:t>
      </w:r>
      <w:r w:rsidR="00EA13CA">
        <w:rPr>
          <w:rFonts w:ascii="Calibri" w:hAnsi="Calibri" w:cs="Arial"/>
          <w:b/>
          <w:color w:val="FF0000"/>
        </w:rPr>
        <w:t>January 202</w:t>
      </w:r>
      <w:r w:rsidR="00EB6461">
        <w:rPr>
          <w:rFonts w:ascii="Calibri" w:hAnsi="Calibri" w:cs="Arial"/>
          <w:b/>
          <w:color w:val="FF0000"/>
        </w:rPr>
        <w:t>4</w:t>
      </w:r>
    </w:p>
    <w:p w14:paraId="3CDAD056" w14:textId="77777777" w:rsidR="00F14E28" w:rsidRDefault="00F14E28" w:rsidP="00F14E28">
      <w:pPr>
        <w:jc w:val="center"/>
        <w:rPr>
          <w:rFonts w:ascii="Calibri" w:hAnsi="Calibri" w:cs="Arial"/>
          <w:b/>
          <w:color w:val="FF0000"/>
        </w:rPr>
      </w:pPr>
      <w:r w:rsidRPr="009D3DFE">
        <w:rPr>
          <w:rFonts w:ascii="Calibri" w:hAnsi="Calibri" w:cs="Arial"/>
          <w:b/>
          <w:color w:val="FF0000"/>
        </w:rPr>
        <w:t>Author: Andy Walker</w:t>
      </w:r>
    </w:p>
    <w:p w14:paraId="3CDAD057" w14:textId="77777777" w:rsidR="00B31319" w:rsidRPr="009D3DFE" w:rsidRDefault="00B31319" w:rsidP="00F14E28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Co author: Suzanne Knight</w:t>
      </w:r>
    </w:p>
    <w:p w14:paraId="3CDAD058" w14:textId="77777777" w:rsidR="00F14E28" w:rsidRPr="009D3DFE" w:rsidRDefault="00F14E28" w:rsidP="00F14E28">
      <w:pPr>
        <w:jc w:val="center"/>
        <w:rPr>
          <w:rFonts w:ascii="Comic Sans MS" w:hAnsi="Comic Sans MS" w:cs="Arial"/>
          <w:color w:val="FF0000"/>
          <w:sz w:val="28"/>
          <w:szCs w:val="28"/>
        </w:rPr>
      </w:pPr>
    </w:p>
    <w:p w14:paraId="3CDAD059" w14:textId="77777777" w:rsidR="00F14E28" w:rsidRPr="009D3DFE" w:rsidRDefault="00F14E28" w:rsidP="00F14E28">
      <w:pPr>
        <w:rPr>
          <w:rFonts w:ascii="Comic Sans MS" w:hAnsi="Comic Sans MS" w:cs="Arial"/>
          <w:color w:val="FF0000"/>
          <w:sz w:val="28"/>
          <w:szCs w:val="28"/>
        </w:rPr>
      </w:pPr>
      <w:r w:rsidRPr="009D3DFE">
        <w:rPr>
          <w:rFonts w:ascii="Comic Sans MS" w:hAnsi="Comic Sans MS" w:cs="Arial"/>
          <w:color w:val="FF0000"/>
          <w:sz w:val="28"/>
          <w:szCs w:val="28"/>
        </w:rPr>
        <w:t xml:space="preserve">  </w:t>
      </w:r>
    </w:p>
    <w:p w14:paraId="3CDAD05A" w14:textId="77777777" w:rsidR="00F14E28" w:rsidRPr="009D3DFE" w:rsidRDefault="00F14E28" w:rsidP="00F14E28">
      <w:pPr>
        <w:rPr>
          <w:rFonts w:ascii="Comic Sans MS" w:hAnsi="Comic Sans MS" w:cs="Arial"/>
          <w:color w:val="FF0000"/>
          <w:sz w:val="28"/>
          <w:szCs w:val="28"/>
        </w:rPr>
      </w:pPr>
      <w:r w:rsidRPr="009D3DFE">
        <w:rPr>
          <w:rFonts w:ascii="Comic Sans MS" w:hAnsi="Comic Sans MS" w:cs="Arial"/>
          <w:color w:val="FF0000"/>
          <w:sz w:val="28"/>
          <w:szCs w:val="28"/>
        </w:rPr>
        <w:t xml:space="preserve">                   </w:t>
      </w:r>
    </w:p>
    <w:p w14:paraId="3CDAD05B" w14:textId="77777777" w:rsidR="00F14E28" w:rsidRPr="009D3DFE" w:rsidRDefault="00F14E28" w:rsidP="00F14E28">
      <w:pPr>
        <w:jc w:val="center"/>
        <w:rPr>
          <w:rFonts w:ascii="Comic Sans MS" w:hAnsi="Comic Sans MS"/>
          <w:color w:val="FF0000"/>
        </w:rPr>
      </w:pPr>
    </w:p>
    <w:p w14:paraId="3CDAD05C" w14:textId="77777777" w:rsidR="00F14E28" w:rsidRPr="009D3DFE" w:rsidRDefault="00F14E28" w:rsidP="00F14E28">
      <w:pPr>
        <w:jc w:val="center"/>
        <w:rPr>
          <w:rFonts w:ascii="Comic Sans MS" w:hAnsi="Comic Sans MS"/>
          <w:color w:val="FF0000"/>
        </w:rPr>
      </w:pPr>
    </w:p>
    <w:p w14:paraId="3CDAD05D" w14:textId="77777777" w:rsidR="00F14E28" w:rsidRPr="009D3DFE" w:rsidRDefault="00F14E28" w:rsidP="00F14E28">
      <w:pPr>
        <w:jc w:val="center"/>
        <w:rPr>
          <w:rFonts w:ascii="Comic Sans MS" w:hAnsi="Comic Sans MS"/>
          <w:color w:val="FF0000"/>
        </w:rPr>
      </w:pPr>
    </w:p>
    <w:p w14:paraId="3CDAD05E" w14:textId="77777777" w:rsidR="00F14E28" w:rsidRPr="009D3DFE" w:rsidRDefault="00F14E28" w:rsidP="00F14E28">
      <w:pPr>
        <w:jc w:val="center"/>
        <w:rPr>
          <w:rFonts w:ascii="Comic Sans MS" w:hAnsi="Comic Sans MS"/>
          <w:color w:val="FF0000"/>
        </w:rPr>
      </w:pPr>
    </w:p>
    <w:p w14:paraId="3CDAD05F" w14:textId="77777777" w:rsidR="00F14E28" w:rsidRDefault="00F14E28" w:rsidP="00F14E28">
      <w:pPr>
        <w:rPr>
          <w:rFonts w:ascii="Comic Sans MS" w:hAnsi="Comic Sans MS"/>
          <w:color w:val="FF0000"/>
        </w:rPr>
      </w:pPr>
    </w:p>
    <w:p w14:paraId="3CDAD060" w14:textId="77777777" w:rsidR="00F14E28" w:rsidRDefault="00F14E28" w:rsidP="00F14E28">
      <w:pPr>
        <w:rPr>
          <w:rFonts w:ascii="Comic Sans MS" w:hAnsi="Comic Sans MS"/>
          <w:color w:val="FF0000"/>
        </w:rPr>
      </w:pPr>
    </w:p>
    <w:p w14:paraId="3CDAD061" w14:textId="285CF8F2" w:rsidR="00F14E28" w:rsidRDefault="00EB6461" w:rsidP="00EB6461">
      <w:pPr>
        <w:tabs>
          <w:tab w:val="center" w:pos="4513"/>
          <w:tab w:val="left" w:pos="6036"/>
        </w:tabs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 w:rsidR="00F14E28">
        <w:rPr>
          <w:rFonts w:ascii="Calibri" w:hAnsi="Calibri"/>
          <w:color w:val="FF0000"/>
        </w:rPr>
        <w:t>Farndon</w:t>
      </w:r>
      <w:r w:rsidR="00F14E28" w:rsidRPr="009D3DFE">
        <w:rPr>
          <w:rFonts w:ascii="Calibri" w:hAnsi="Calibri"/>
          <w:color w:val="FF0000"/>
        </w:rPr>
        <w:t xml:space="preserve"> Primary School</w:t>
      </w:r>
      <w:r>
        <w:rPr>
          <w:rFonts w:ascii="Calibri" w:hAnsi="Calibri"/>
          <w:color w:val="FF0000"/>
        </w:rPr>
        <w:tab/>
      </w:r>
    </w:p>
    <w:p w14:paraId="11C71310" w14:textId="77777777" w:rsidR="00EB6461" w:rsidRDefault="00EB6461" w:rsidP="00EB6461">
      <w:pPr>
        <w:tabs>
          <w:tab w:val="center" w:pos="4513"/>
          <w:tab w:val="left" w:pos="6036"/>
        </w:tabs>
        <w:rPr>
          <w:rFonts w:ascii="Calibri" w:hAnsi="Calibri"/>
          <w:color w:val="FF0000"/>
        </w:rPr>
      </w:pPr>
    </w:p>
    <w:tbl>
      <w:tblPr>
        <w:tblW w:w="8531" w:type="dxa"/>
        <w:tblInd w:w="424" w:type="dxa"/>
        <w:tblCellMar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3350"/>
        <w:gridCol w:w="916"/>
        <w:gridCol w:w="706"/>
        <w:gridCol w:w="3559"/>
      </w:tblGrid>
      <w:tr w:rsidR="00F14E28" w14:paraId="3CDAD066" w14:textId="77777777" w:rsidTr="00587859">
        <w:trPr>
          <w:trHeight w:val="1111"/>
        </w:trPr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2" w14:textId="77777777" w:rsidR="00F14E28" w:rsidRPr="00F13D93" w:rsidRDefault="00F14E28" w:rsidP="00F14E2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 xml:space="preserve">EQUALITY SCHEME </w:t>
            </w:r>
          </w:p>
          <w:p w14:paraId="3CDAD063" w14:textId="77777777" w:rsidR="00F14E28" w:rsidRPr="00F13D93" w:rsidRDefault="00F14E28" w:rsidP="00F14E2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 xml:space="preserve">EQUALITY IMPACT ASSESSMENT FOR </w:t>
            </w:r>
          </w:p>
          <w:p w14:paraId="3CDAD064" w14:textId="77777777" w:rsidR="00F14E28" w:rsidRPr="00F13D93" w:rsidRDefault="00F14E28" w:rsidP="00F14E2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RISK ASSESSMENT </w:t>
            </w:r>
            <w:r w:rsidRPr="00F13D93">
              <w:rPr>
                <w:rFonts w:ascii="Calibri" w:hAnsi="Calibri"/>
                <w:b/>
              </w:rPr>
              <w:t xml:space="preserve">POLICY  </w:t>
            </w:r>
          </w:p>
          <w:p w14:paraId="3CDAD06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6A" w14:textId="77777777" w:rsidTr="00587859">
        <w:trPr>
          <w:trHeight w:val="556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7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8" w14:textId="77777777" w:rsidR="00F14E28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Health Safety Committee;</w:t>
            </w:r>
          </w:p>
          <w:p w14:paraId="3CDAD069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Headteacher </w:t>
            </w:r>
          </w:p>
        </w:tc>
      </w:tr>
      <w:tr w:rsidR="00F14E28" w14:paraId="3CDAD06D" w14:textId="77777777" w:rsidTr="00587859">
        <w:trPr>
          <w:trHeight w:val="570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B" w14:textId="77777777" w:rsidR="00F14E28" w:rsidRPr="00F13D93" w:rsidRDefault="00F14E28" w:rsidP="00F14E28">
            <w:pPr>
              <w:spacing w:after="0" w:line="240" w:lineRule="auto"/>
              <w:ind w:left="1" w:right="2778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For use by: 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C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Staff, Governors and Parent/Carers </w:t>
            </w:r>
          </w:p>
        </w:tc>
      </w:tr>
      <w:tr w:rsidR="00F14E28" w14:paraId="3CDAD073" w14:textId="77777777" w:rsidTr="00587859">
        <w:trPr>
          <w:trHeight w:val="841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6E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This policy relates to statutory guidance: </w:t>
            </w:r>
          </w:p>
          <w:p w14:paraId="3CDAD06F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0" w14:textId="77777777" w:rsidR="007368B7" w:rsidRDefault="007368B7" w:rsidP="007368B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Management of Health and Safety regulations 1999</w:t>
            </w:r>
          </w:p>
          <w:p w14:paraId="3CDAD071" w14:textId="77777777" w:rsidR="007368B7" w:rsidRPr="00F13D93" w:rsidRDefault="007368B7" w:rsidP="007368B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Safety: advice on legal duties and powers Feb 2014</w:t>
            </w:r>
          </w:p>
          <w:p w14:paraId="3CDAD072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14E28" w14:paraId="3CDAD07A" w14:textId="77777777" w:rsidTr="00587859">
        <w:trPr>
          <w:trHeight w:val="555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4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Key related Farndon Policies: </w:t>
            </w:r>
          </w:p>
          <w:p w14:paraId="3CDAD07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6" w14:textId="77777777" w:rsidR="00F14E28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Safeguarding </w:t>
            </w:r>
            <w:r w:rsidR="007368B7">
              <w:rPr>
                <w:rFonts w:ascii="Calibri" w:hAnsi="Calibri"/>
              </w:rPr>
              <w:t xml:space="preserve">              Site Security </w:t>
            </w:r>
          </w:p>
          <w:p w14:paraId="3CDAD077" w14:textId="77777777" w:rsidR="007368B7" w:rsidRDefault="007368B7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and Safety      Educational Visits </w:t>
            </w:r>
          </w:p>
          <w:p w14:paraId="3CDAD078" w14:textId="77777777" w:rsidR="007368B7" w:rsidRDefault="007368B7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Medicine                     Staff Handbook</w:t>
            </w:r>
          </w:p>
          <w:p w14:paraId="3CDAD079" w14:textId="77777777" w:rsidR="00F14E28" w:rsidRPr="007B4CBA" w:rsidRDefault="007368B7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</w:t>
            </w:r>
            <w:r w:rsidR="0030025D">
              <w:rPr>
                <w:rFonts w:ascii="Calibri" w:hAnsi="Calibri"/>
              </w:rPr>
              <w:t xml:space="preserve">                       Educational Visits</w:t>
            </w:r>
          </w:p>
        </w:tc>
      </w:tr>
      <w:tr w:rsidR="00F14E28" w14:paraId="3CDAD07C" w14:textId="77777777" w:rsidTr="00587859">
        <w:trPr>
          <w:trHeight w:val="841"/>
        </w:trPr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B" w14:textId="77777777" w:rsidR="00F14E28" w:rsidRPr="00F13D93" w:rsidRDefault="00F14E28" w:rsidP="00F14E28">
            <w:pPr>
              <w:spacing w:after="0" w:line="240" w:lineRule="auto"/>
              <w:ind w:left="1" w:right="107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Equality Impact Assessment:</w:t>
            </w:r>
            <w:r w:rsidRPr="00F13D93">
              <w:rPr>
                <w:rFonts w:ascii="Calibri" w:hAnsi="Calibri"/>
              </w:rPr>
              <w:t xml:space="preserve"> Does this document impact on any of the following groups?  If YES, state positive or negative impact, and complete an Equality Impact Assessment Form or action plan, and attach.   </w:t>
            </w:r>
          </w:p>
        </w:tc>
      </w:tr>
      <w:tr w:rsidR="00F14E28" w14:paraId="3CDAD080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D" w14:textId="77777777" w:rsidR="00F14E28" w:rsidRPr="00F13D93" w:rsidRDefault="00F14E28" w:rsidP="00F14E2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Groups:</w:t>
            </w: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E" w14:textId="77777777" w:rsidR="00F14E28" w:rsidRPr="00F13D93" w:rsidRDefault="00F14E28" w:rsidP="00F14E2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Yes/ No</w:t>
            </w: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7F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Positive/Negative impact</w:t>
            </w: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84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1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Disability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2" w14:textId="77777777" w:rsidR="00F14E28" w:rsidRPr="00F13D93" w:rsidRDefault="0030025D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3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  <w:r w:rsidR="0030025D">
              <w:rPr>
                <w:rFonts w:ascii="Calibri" w:hAnsi="Calibri"/>
              </w:rPr>
              <w:t xml:space="preserve">Positive: risk assess so that can access school / curriculum equally. </w:t>
            </w:r>
          </w:p>
        </w:tc>
      </w:tr>
      <w:tr w:rsidR="00F14E28" w14:paraId="3CDAD088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Race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6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7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8C" w14:textId="77777777" w:rsidTr="00587859">
        <w:trPr>
          <w:trHeight w:val="286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9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Gender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A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B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90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D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Age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E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8F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94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1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Sexual Orientation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2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3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14E28" w14:paraId="3CDAD098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Religious and Belief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6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7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14E28" w14:paraId="3CDAD09C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9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Gender Reassignment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A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B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A0" w14:textId="77777777" w:rsidTr="00587859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D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Marriage &amp; Civil Partnership 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E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9F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A4" w14:textId="77777777" w:rsidTr="00587859">
        <w:trPr>
          <w:trHeight w:val="301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1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Pregnancy &amp; Maternity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2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3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A8" w14:textId="77777777" w:rsidTr="00587859">
        <w:trPr>
          <w:trHeight w:val="3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Other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6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No 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7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</w:tr>
      <w:tr w:rsidR="00F14E28" w14:paraId="3CDAD0AC" w14:textId="77777777" w:rsidTr="00587859">
        <w:trPr>
          <w:trHeight w:val="556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9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 xml:space="preserve">Reviewed by </w:t>
            </w:r>
          </w:p>
          <w:p w14:paraId="3CDAD0AA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B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Leadership and Management </w:t>
            </w:r>
          </w:p>
        </w:tc>
      </w:tr>
      <w:tr w:rsidR="00F14E28" w14:paraId="3CDAD0B0" w14:textId="77777777" w:rsidTr="00587859">
        <w:trPr>
          <w:trHeight w:val="660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D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Agreed by</w:t>
            </w: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AE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Governors </w:t>
            </w:r>
          </w:p>
          <w:p w14:paraId="3CDAD0AF" w14:textId="77777777" w:rsidR="00F14E28" w:rsidRPr="00F13D93" w:rsidRDefault="00F14E28" w:rsidP="00F14E2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14E28" w14:paraId="3CDAD0B3" w14:textId="77777777" w:rsidTr="00587859">
        <w:trPr>
          <w:trHeight w:val="285"/>
        </w:trPr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B1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  <w:b/>
              </w:rPr>
              <w:t>Next Policy review date</w:t>
            </w:r>
            <w:r w:rsidRPr="00F13D93">
              <w:rPr>
                <w:rFonts w:ascii="Calibri" w:hAnsi="Calibri"/>
              </w:rPr>
              <w:t xml:space="preserve"> 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B2" w14:textId="4C92BB08" w:rsidR="00F14E28" w:rsidRPr="00F13D93" w:rsidRDefault="00EA13CA" w:rsidP="00F14E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202</w:t>
            </w:r>
            <w:r w:rsidR="00EB6461">
              <w:rPr>
                <w:rFonts w:ascii="Calibri" w:hAnsi="Calibri"/>
              </w:rPr>
              <w:t>4</w:t>
            </w:r>
          </w:p>
        </w:tc>
      </w:tr>
      <w:tr w:rsidR="00F14E28" w14:paraId="3CDAD0B6" w14:textId="77777777" w:rsidTr="00587859">
        <w:trPr>
          <w:trHeight w:val="826"/>
        </w:trPr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D0B4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 </w:t>
            </w:r>
          </w:p>
          <w:p w14:paraId="3CDAD0B5" w14:textId="77777777" w:rsidR="00F14E28" w:rsidRPr="00F13D93" w:rsidRDefault="00F14E28" w:rsidP="00F14E28">
            <w:pPr>
              <w:spacing w:after="0" w:line="240" w:lineRule="auto"/>
              <w:ind w:left="1"/>
              <w:rPr>
                <w:rFonts w:ascii="Calibri" w:hAnsi="Calibri"/>
              </w:rPr>
            </w:pPr>
            <w:r w:rsidRPr="00F13D93">
              <w:rPr>
                <w:rFonts w:ascii="Calibri" w:hAnsi="Calibri"/>
              </w:rPr>
              <w:t xml:space="preserve">A copy of this form, and any related impact assessment form or action plan must be sent to the school office </w:t>
            </w:r>
          </w:p>
        </w:tc>
      </w:tr>
    </w:tbl>
    <w:p w14:paraId="3CDAD0B7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8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9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A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B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C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D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E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BF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C0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CDAD0C1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RISK ASSESSMENT POLICY</w:t>
      </w:r>
    </w:p>
    <w:p w14:paraId="3CDAD0C2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0C3" w14:textId="77777777" w:rsidR="007368B7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37F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368B7">
        <w:rPr>
          <w:rFonts w:ascii="Times New Roman" w:hAnsi="Times New Roman" w:cs="Times New Roman"/>
          <w:b/>
          <w:bCs/>
          <w:sz w:val="24"/>
          <w:szCs w:val="24"/>
        </w:rPr>
        <w:t xml:space="preserve"> Farndon Primary</w:t>
      </w:r>
      <w:r w:rsidR="007637F8">
        <w:rPr>
          <w:rFonts w:ascii="Times New Roman" w:hAnsi="Times New Roman" w:cs="Times New Roman"/>
          <w:b/>
          <w:bCs/>
          <w:sz w:val="24"/>
          <w:szCs w:val="24"/>
        </w:rPr>
        <w:t>, we take this aspec</w:t>
      </w:r>
      <w:r>
        <w:rPr>
          <w:rFonts w:ascii="Times New Roman" w:hAnsi="Times New Roman" w:cs="Times New Roman"/>
          <w:b/>
          <w:bCs/>
          <w:sz w:val="24"/>
          <w:szCs w:val="24"/>
        </w:rPr>
        <w:t>t of school life very seriously. W</w:t>
      </w:r>
      <w:r w:rsidR="007637F8">
        <w:rPr>
          <w:rFonts w:ascii="Times New Roman" w:hAnsi="Times New Roman" w:cs="Times New Roman"/>
          <w:b/>
          <w:bCs/>
          <w:sz w:val="24"/>
          <w:szCs w:val="24"/>
        </w:rPr>
        <w:t xml:space="preserve">e have decided to maintain this policy </w:t>
      </w:r>
      <w:r w:rsidR="007368B7">
        <w:rPr>
          <w:rFonts w:ascii="Times New Roman" w:hAnsi="Times New Roman" w:cs="Times New Roman"/>
          <w:b/>
          <w:bCs/>
          <w:sz w:val="24"/>
          <w:szCs w:val="24"/>
        </w:rPr>
        <w:t xml:space="preserve">and continue with our yearly schedule of regular risk assessment updates and renewals. Where there has been a change, we also carry out new risk assessments. </w:t>
      </w:r>
    </w:p>
    <w:p w14:paraId="3CDAD0C4" w14:textId="77777777" w:rsidR="007368B7" w:rsidRDefault="007368B7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0C5" w14:textId="77777777" w:rsidR="007637F8" w:rsidRPr="0030025D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68B7">
        <w:rPr>
          <w:rFonts w:ascii="Times New Roman" w:hAnsi="Times New Roman" w:cs="Times New Roman"/>
          <w:sz w:val="24"/>
          <w:szCs w:val="24"/>
        </w:rPr>
        <w:t xml:space="preserve">Governors of Farndon Primary </w:t>
      </w:r>
      <w:r>
        <w:rPr>
          <w:rFonts w:ascii="Times New Roman" w:hAnsi="Times New Roman" w:cs="Times New Roman"/>
          <w:sz w:val="24"/>
          <w:szCs w:val="24"/>
        </w:rPr>
        <w:t>School are fully committed to promoting the safety and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welfare of all in our community so that effective education can take place. Their highest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priority lies in ensuring that all the operations within the school environment, both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and support, are delivered in a safe manner that complies fully, not just with the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 but with best practice. Risks are inherent in everyday life. We need to identify them and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adopt systems for minimising them. Our pupils need to be educated into how to cope</w:t>
      </w:r>
      <w:r w:rsidR="003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safely with risk.</w:t>
      </w:r>
    </w:p>
    <w:p w14:paraId="3CDAD0C6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C7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A RISK ASSESSMENT?</w:t>
      </w:r>
    </w:p>
    <w:p w14:paraId="3CDAD0C8" w14:textId="77777777" w:rsidR="0030025D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C9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risk assessment is a tool for conducting a formal examination of the harm or hazard to</w:t>
      </w:r>
      <w:r w:rsidR="0030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(or an organisation) that could result from a particular activity or situation.</w:t>
      </w:r>
    </w:p>
    <w:p w14:paraId="3CDAD0CA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CB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hazard </w:t>
      </w:r>
      <w:r>
        <w:rPr>
          <w:rFonts w:ascii="Times New Roman" w:hAnsi="Times New Roman" w:cs="Times New Roman"/>
          <w:sz w:val="24"/>
          <w:szCs w:val="24"/>
        </w:rPr>
        <w:t>is something with the potential to cause harm (e.g. fire).</w:t>
      </w:r>
    </w:p>
    <w:p w14:paraId="3CDAD0CC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risk </w:t>
      </w:r>
      <w:r>
        <w:rPr>
          <w:rFonts w:ascii="Times New Roman" w:hAnsi="Times New Roman" w:cs="Times New Roman"/>
          <w:sz w:val="24"/>
          <w:szCs w:val="24"/>
        </w:rPr>
        <w:t>is an evaluation of the probability (or likelihood) of the hazard occurring (e.g.</w:t>
      </w:r>
    </w:p>
    <w:p w14:paraId="3CDAD0CD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chip pan will catch fire if left unattended).</w:t>
      </w:r>
    </w:p>
    <w:p w14:paraId="3CDAD0CE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risk assessment </w:t>
      </w:r>
      <w:r>
        <w:rPr>
          <w:rFonts w:ascii="Times New Roman" w:hAnsi="Times New Roman" w:cs="Times New Roman"/>
          <w:sz w:val="24"/>
          <w:szCs w:val="24"/>
        </w:rPr>
        <w:t>is the resulting assessment of the severity of the outcome (e.g. loss</w:t>
      </w:r>
    </w:p>
    <w:p w14:paraId="3CDAD0CF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life, destruction of property).</w:t>
      </w:r>
    </w:p>
    <w:p w14:paraId="3CDAD0D0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Risk control measures </w:t>
      </w:r>
      <w:r>
        <w:rPr>
          <w:rFonts w:ascii="Times New Roman" w:hAnsi="Times New Roman" w:cs="Times New Roman"/>
          <w:sz w:val="24"/>
          <w:szCs w:val="24"/>
        </w:rPr>
        <w:t>are the measures and procedures that are put in place in order</w:t>
      </w:r>
    </w:p>
    <w:p w14:paraId="3CDAD0D1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minimise the consequences of unfettered risk (e.g. staff training, clear work</w:t>
      </w:r>
    </w:p>
    <w:p w14:paraId="3CDAD0D2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procedures, heat detectors, fire alarms, fire practices, gas and electrical shut down</w:t>
      </w:r>
    </w:p>
    <w:p w14:paraId="3CDAD0D3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and insurance).</w:t>
      </w:r>
    </w:p>
    <w:p w14:paraId="3CDAD0D4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D5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Accidents and injuries can ruin lives, damage reputations and cost money. Apart from being a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requirement, risk assessments therefore make good sense, focusing on prevention, rather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reacting when things go wrong. In many cases simple measures are very effective and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costly.</w:t>
      </w:r>
    </w:p>
    <w:p w14:paraId="3CDAD0D6" w14:textId="77777777" w:rsidR="007637F8" w:rsidRDefault="007637F8" w:rsidP="00FC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assessments need reviewing an</w:t>
      </w:r>
      <w:r w:rsidR="00FC6B59">
        <w:rPr>
          <w:rFonts w:ascii="Times New Roman" w:hAnsi="Times New Roman" w:cs="Times New Roman"/>
          <w:sz w:val="24"/>
          <w:szCs w:val="24"/>
        </w:rPr>
        <w:t>d updating regularly. At Farndon Primary</w:t>
      </w:r>
      <w:r>
        <w:rPr>
          <w:rFonts w:ascii="Times New Roman" w:hAnsi="Times New Roman" w:cs="Times New Roman"/>
          <w:sz w:val="24"/>
          <w:szCs w:val="24"/>
        </w:rPr>
        <w:t xml:space="preserve"> School we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very aware that all staff and pupils need to receive training. A “library” of risk</w:t>
      </w:r>
      <w:r w:rsidR="0030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assessments is maintaine</w:t>
      </w:r>
      <w:r w:rsidR="00FC6B59">
        <w:rPr>
          <w:rFonts w:ascii="Times New Roman" w:hAnsi="Times New Roman" w:cs="Times New Roman"/>
          <w:sz w:val="24"/>
          <w:szCs w:val="24"/>
        </w:rPr>
        <w:t>d by the School Bursar</w:t>
      </w:r>
      <w:r>
        <w:rPr>
          <w:rFonts w:ascii="Times New Roman" w:hAnsi="Times New Roman" w:cs="Times New Roman"/>
          <w:sz w:val="24"/>
          <w:szCs w:val="24"/>
        </w:rPr>
        <w:t xml:space="preserve"> and the Educational Visits Coordinator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staff to refer to and use for themselves. </w:t>
      </w:r>
      <w:r w:rsidR="00FC6B59">
        <w:rPr>
          <w:rFonts w:ascii="Times New Roman" w:hAnsi="Times New Roman" w:cs="Times New Roman"/>
          <w:sz w:val="24"/>
          <w:szCs w:val="24"/>
        </w:rPr>
        <w:t xml:space="preserve">The CPD leader maintains evidence of staff training. </w:t>
      </w:r>
    </w:p>
    <w:p w14:paraId="3CDAD0D7" w14:textId="77777777" w:rsidR="00FC6B59" w:rsidRDefault="00FC6B59" w:rsidP="00FC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D8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AREAS REQUIRE RISK ASSESSMENTS?</w:t>
      </w:r>
    </w:p>
    <w:p w14:paraId="3CDAD0D9" w14:textId="77777777" w:rsidR="0030025D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0DA" w14:textId="77777777" w:rsidR="0030025D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numerous activit</w:t>
      </w:r>
      <w:r w:rsidR="00FC6B59">
        <w:rPr>
          <w:rFonts w:ascii="Times New Roman" w:hAnsi="Times New Roman" w:cs="Times New Roman"/>
          <w:sz w:val="24"/>
          <w:szCs w:val="24"/>
        </w:rPr>
        <w:t xml:space="preserve">ies carried out in </w:t>
      </w:r>
      <w:r w:rsidR="00FC6B59">
        <w:rPr>
          <w:rFonts w:ascii="Times New Roman" w:hAnsi="Times New Roman" w:cs="Times New Roman"/>
          <w:sz w:val="24"/>
          <w:szCs w:val="24"/>
        </w:rPr>
        <w:tab/>
        <w:t>Farndon Primary</w:t>
      </w:r>
      <w:r>
        <w:rPr>
          <w:rFonts w:ascii="Times New Roman" w:hAnsi="Times New Roman" w:cs="Times New Roman"/>
          <w:sz w:val="24"/>
          <w:szCs w:val="24"/>
        </w:rPr>
        <w:t xml:space="preserve"> School, each of which requires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separate risk assessment. </w:t>
      </w:r>
      <w:r w:rsidR="00C82FD6">
        <w:rPr>
          <w:rFonts w:ascii="Times New Roman" w:hAnsi="Times New Roman" w:cs="Times New Roman"/>
          <w:sz w:val="24"/>
          <w:szCs w:val="24"/>
        </w:rPr>
        <w:t>We have a</w:t>
      </w:r>
      <w:r w:rsidR="0030025D">
        <w:rPr>
          <w:rFonts w:ascii="Times New Roman" w:hAnsi="Times New Roman" w:cs="Times New Roman"/>
          <w:sz w:val="24"/>
          <w:szCs w:val="24"/>
        </w:rPr>
        <w:t xml:space="preserve"> Health and Safety</w:t>
      </w:r>
      <w:r w:rsidR="00C82FD6">
        <w:rPr>
          <w:rFonts w:ascii="Times New Roman" w:hAnsi="Times New Roman" w:cs="Times New Roman"/>
          <w:sz w:val="24"/>
          <w:szCs w:val="24"/>
        </w:rPr>
        <w:t xml:space="preserve"> yearly</w:t>
      </w:r>
      <w:r w:rsidR="0030025D">
        <w:rPr>
          <w:rFonts w:ascii="Times New Roman" w:hAnsi="Times New Roman" w:cs="Times New Roman"/>
          <w:sz w:val="24"/>
          <w:szCs w:val="24"/>
        </w:rPr>
        <w:t xml:space="preserve"> review</w:t>
      </w:r>
      <w:r w:rsidR="00C82FD6">
        <w:rPr>
          <w:rFonts w:ascii="Times New Roman" w:hAnsi="Times New Roman" w:cs="Times New Roman"/>
          <w:sz w:val="24"/>
          <w:szCs w:val="24"/>
        </w:rPr>
        <w:t xml:space="preserve"> meeting with the Local Authority</w:t>
      </w:r>
      <w:r w:rsidR="0030025D">
        <w:rPr>
          <w:rFonts w:ascii="Times New Roman" w:hAnsi="Times New Roman" w:cs="Times New Roman"/>
          <w:sz w:val="24"/>
          <w:szCs w:val="24"/>
        </w:rPr>
        <w:t xml:space="preserve"> which </w:t>
      </w:r>
      <w:r w:rsidR="006C101B">
        <w:rPr>
          <w:rFonts w:ascii="Times New Roman" w:hAnsi="Times New Roman" w:cs="Times New Roman"/>
          <w:sz w:val="24"/>
          <w:szCs w:val="24"/>
        </w:rPr>
        <w:t>go</w:t>
      </w:r>
      <w:r w:rsidR="0030025D">
        <w:rPr>
          <w:rFonts w:ascii="Times New Roman" w:hAnsi="Times New Roman" w:cs="Times New Roman"/>
          <w:sz w:val="24"/>
          <w:szCs w:val="24"/>
        </w:rPr>
        <w:t>es through our</w:t>
      </w:r>
      <w:r w:rsidR="006C101B">
        <w:rPr>
          <w:rFonts w:ascii="Times New Roman" w:hAnsi="Times New Roman" w:cs="Times New Roman"/>
          <w:sz w:val="24"/>
          <w:szCs w:val="24"/>
        </w:rPr>
        <w:t xml:space="preserve"> risk assessments and procedures across the school. A report is produced and shared with the lead Governor for Health and Safety</w:t>
      </w:r>
      <w:r w:rsidR="0030025D">
        <w:rPr>
          <w:rFonts w:ascii="Times New Roman" w:hAnsi="Times New Roman" w:cs="Times New Roman"/>
          <w:sz w:val="24"/>
          <w:szCs w:val="24"/>
        </w:rPr>
        <w:t xml:space="preserve"> (Mr Greg Davenport)</w:t>
      </w:r>
      <w:r w:rsidR="006C101B">
        <w:rPr>
          <w:rFonts w:ascii="Times New Roman" w:hAnsi="Times New Roman" w:cs="Times New Roman"/>
          <w:sz w:val="24"/>
          <w:szCs w:val="24"/>
        </w:rPr>
        <w:t xml:space="preserve">. </w:t>
      </w:r>
      <w:r w:rsidR="00C82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AD0DB" w14:textId="77777777" w:rsidR="0030025D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DC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most important of these cover:</w:t>
      </w:r>
    </w:p>
    <w:p w14:paraId="3CDAD0DD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7637F8"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Fire safety and procedures</w:t>
      </w:r>
    </w:p>
    <w:p w14:paraId="3CDAD0DE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7637F8"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Educational visits and trips</w:t>
      </w:r>
    </w:p>
    <w:p w14:paraId="3CDAD0DF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Buildings and Premises</w:t>
      </w:r>
    </w:p>
    <w:p w14:paraId="3CDAD0E0" w14:textId="77777777" w:rsidR="00FC6B59" w:rsidRDefault="006C101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Legionella </w:t>
      </w:r>
    </w:p>
    <w:p w14:paraId="3CDAD0E1" w14:textId="77777777" w:rsidR="0030025D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E2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risk assessments are also needed for many other areas, including:</w:t>
      </w:r>
    </w:p>
    <w:p w14:paraId="3CDAD0E3" w14:textId="77777777" w:rsidR="0030025D" w:rsidRDefault="0030025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E4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r w:rsidR="00FC6B59">
        <w:rPr>
          <w:rFonts w:ascii="Times New Roman" w:hAnsi="Times New Roman" w:cs="Times New Roman"/>
          <w:b/>
          <w:bCs/>
          <w:sz w:val="24"/>
          <w:szCs w:val="24"/>
        </w:rPr>
        <w:t xml:space="preserve"> / Curriculum</w:t>
      </w:r>
      <w:r w:rsidR="003002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0E5" w14:textId="77777777" w:rsidR="00FC6B59" w:rsidRDefault="00FC6B59" w:rsidP="00FC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Science</w:t>
      </w:r>
    </w:p>
    <w:p w14:paraId="3CDAD0E6" w14:textId="77777777" w:rsidR="00FC6B59" w:rsidRPr="00FC6B59" w:rsidRDefault="00FC6B59" w:rsidP="00FC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EYFS Stage</w:t>
      </w:r>
    </w:p>
    <w:p w14:paraId="3CDAD0E7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Each sport and PE activity</w:t>
      </w:r>
    </w:p>
    <w:p w14:paraId="3CDAD0E8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Art (including the clay and print studios)</w:t>
      </w:r>
    </w:p>
    <w:p w14:paraId="3CDAD0E9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Music (including minimising the risk of hearing loss to staff)</w:t>
      </w:r>
    </w:p>
    <w:p w14:paraId="3CDAD0EA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Drama (including the theatre back stage, stage, props room and lighting box)</w:t>
      </w:r>
    </w:p>
    <w:p w14:paraId="3CDAD0EB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637F8">
        <w:rPr>
          <w:rFonts w:ascii="Times New Roman" w:hAnsi="Times New Roman" w:cs="Times New Roman"/>
          <w:sz w:val="24"/>
          <w:szCs w:val="24"/>
        </w:rPr>
        <w:t>Dance</w:t>
      </w:r>
    </w:p>
    <w:p w14:paraId="3CDAD0EC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ED" w14:textId="77777777" w:rsidR="00FC6B59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59">
        <w:rPr>
          <w:rFonts w:ascii="Times New Roman" w:hAnsi="Times New Roman" w:cs="Times New Roman"/>
          <w:b/>
          <w:sz w:val="24"/>
          <w:szCs w:val="24"/>
        </w:rPr>
        <w:t>Staff</w:t>
      </w:r>
      <w:r w:rsidR="0030025D">
        <w:rPr>
          <w:rFonts w:ascii="Times New Roman" w:hAnsi="Times New Roman" w:cs="Times New Roman"/>
          <w:b/>
          <w:sz w:val="24"/>
          <w:szCs w:val="24"/>
        </w:rPr>
        <w:t>:</w:t>
      </w:r>
    </w:p>
    <w:p w14:paraId="3CDAD0EE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Pregnancy</w:t>
      </w:r>
    </w:p>
    <w:p w14:paraId="3CDAD0EF" w14:textId="77777777" w:rsidR="007637F8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7637F8">
        <w:rPr>
          <w:rFonts w:ascii="Times New Roman" w:hAnsi="Times New Roman" w:cs="Times New Roman"/>
          <w:sz w:val="24"/>
          <w:szCs w:val="24"/>
        </w:rPr>
        <w:t>eturn under ‘fit for work’ limitations issued by GP</w:t>
      </w:r>
    </w:p>
    <w:p w14:paraId="3CDAD0F0" w14:textId="77777777" w:rsidR="00FC6B59" w:rsidRDefault="00FC6B59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F1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us carry out effective risk assessments, and assess all risks adequately, we make use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model or generic risk assessments, for our educational activities and visits. We subscribe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CLEAPSS Advisory Service that provides model risk assessments for our lessons in</w:t>
      </w:r>
    </w:p>
    <w:p w14:paraId="3CDAD0F2" w14:textId="77777777" w:rsidR="00FC6B59" w:rsidRDefault="00FC6B59" w:rsidP="00FC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and Design Technology</w:t>
      </w:r>
      <w:r w:rsidR="00763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AD0F3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F4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Pastoral</w:t>
      </w:r>
      <w:r w:rsidR="003002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0F5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of our pastoral care policy is to ensure that every pupil leaves as a confident,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articulate young person capable of keeping him/herself safe on the streets, in the home and in</w:t>
      </w:r>
      <w:r w:rsidR="00FC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situations. Our PSHCE programme and assemblies are directed towards promoting an</w:t>
      </w:r>
      <w:r w:rsidR="0011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 understanding as the pupils develop, of the risks that exist in both the real and the</w:t>
      </w:r>
      <w:r w:rsidR="0030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 worlds, and on sensible precautions that should be taken.</w:t>
      </w:r>
      <w:r w:rsidR="00EE1D6B">
        <w:rPr>
          <w:rFonts w:ascii="Times New Roman" w:hAnsi="Times New Roman" w:cs="Times New Roman"/>
          <w:sz w:val="24"/>
          <w:szCs w:val="24"/>
        </w:rPr>
        <w:t xml:space="preserve"> We have a curriculum overview that includes drugs, alcohol, on-line safety, road safety and healthy lifestyles. </w:t>
      </w:r>
    </w:p>
    <w:p w14:paraId="3CDAD0F6" w14:textId="77777777" w:rsidR="00114C36" w:rsidRDefault="00114C36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F7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Protection issues: Records of concern are in place to identify children at risk beyond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 w:rsidR="00114C36">
        <w:rPr>
          <w:rFonts w:ascii="Times New Roman" w:hAnsi="Times New Roman" w:cs="Times New Roman"/>
          <w:sz w:val="24"/>
          <w:szCs w:val="24"/>
        </w:rPr>
        <w:t>the environment</w:t>
      </w:r>
      <w:r>
        <w:rPr>
          <w:rFonts w:ascii="Times New Roman" w:hAnsi="Times New Roman" w:cs="Times New Roman"/>
          <w:sz w:val="24"/>
          <w:szCs w:val="24"/>
        </w:rPr>
        <w:t xml:space="preserve"> of school.</w:t>
      </w:r>
      <w:r w:rsidR="00EE1D6B">
        <w:rPr>
          <w:rFonts w:ascii="Times New Roman" w:hAnsi="Times New Roman" w:cs="Times New Roman"/>
          <w:sz w:val="24"/>
          <w:szCs w:val="24"/>
        </w:rPr>
        <w:t xml:space="preserve"> These are shared with the designated lead. A decision is taken with regard to the response taken and then it is filed in alphabetical order. </w:t>
      </w:r>
    </w:p>
    <w:p w14:paraId="3CDAD0F8" w14:textId="77777777" w:rsidR="00114C36" w:rsidRDefault="00114C36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F9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and First Aid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0FA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108D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has risk assessments for first aid and all other treatments and procedures.</w:t>
      </w:r>
    </w:p>
    <w:p w14:paraId="3CDAD0FB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 for</w:t>
      </w:r>
      <w:r w:rsidR="00FF108D">
        <w:rPr>
          <w:rFonts w:ascii="Times New Roman" w:hAnsi="Times New Roman" w:cs="Times New Roman"/>
          <w:sz w:val="24"/>
          <w:szCs w:val="24"/>
        </w:rPr>
        <w:t xml:space="preserve">ms are maintained in the school Office and all staff are trained and </w:t>
      </w:r>
      <w:r>
        <w:rPr>
          <w:rFonts w:ascii="Times New Roman" w:hAnsi="Times New Roman" w:cs="Times New Roman"/>
          <w:sz w:val="24"/>
          <w:szCs w:val="24"/>
        </w:rPr>
        <w:t>responsible for ensuring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accident reports are passe</w:t>
      </w:r>
      <w:r w:rsidR="00FF108D">
        <w:rPr>
          <w:rFonts w:ascii="Times New Roman" w:hAnsi="Times New Roman" w:cs="Times New Roman"/>
          <w:sz w:val="24"/>
          <w:szCs w:val="24"/>
        </w:rPr>
        <w:t>d to the School Bursar and the Headteacher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AD0FC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0FD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school’s separate medical policy explains the procedures that we would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 in the event of a m</w:t>
      </w:r>
      <w:r w:rsidR="00EE1D6B">
        <w:rPr>
          <w:rFonts w:ascii="Times New Roman" w:hAnsi="Times New Roman" w:cs="Times New Roman"/>
          <w:sz w:val="24"/>
          <w:szCs w:val="24"/>
        </w:rPr>
        <w:t>edical emergency. The Headteacher</w:t>
      </w:r>
      <w:r>
        <w:rPr>
          <w:rFonts w:ascii="Times New Roman" w:hAnsi="Times New Roman" w:cs="Times New Roman"/>
          <w:sz w:val="24"/>
          <w:szCs w:val="24"/>
        </w:rPr>
        <w:t xml:space="preserve"> is responsible for reporting any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notifiable accident that occurs on school premises to a pupil, me</w:t>
      </w:r>
      <w:r w:rsidR="00EE1D6B">
        <w:rPr>
          <w:rFonts w:ascii="Times New Roman" w:hAnsi="Times New Roman" w:cs="Times New Roman"/>
          <w:sz w:val="24"/>
          <w:szCs w:val="24"/>
        </w:rPr>
        <w:t>mber of staff, parent, visitor</w:t>
      </w:r>
      <w:r>
        <w:rPr>
          <w:rFonts w:ascii="Times New Roman" w:hAnsi="Times New Roman" w:cs="Times New Roman"/>
          <w:sz w:val="24"/>
          <w:szCs w:val="24"/>
        </w:rPr>
        <w:t xml:space="preserve"> contractor to the HSE in accordance with the Reporting of Injuries Diseases and</w:t>
      </w:r>
    </w:p>
    <w:p w14:paraId="3CDAD0FE" w14:textId="77777777" w:rsidR="00EE1D6B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Occurrence Regulations (RIDDOR).</w:t>
      </w:r>
    </w:p>
    <w:p w14:paraId="3CDAD0FF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00" w14:textId="77777777" w:rsidR="007637F8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incident where someone goes to hospital is reported on PRIME. </w:t>
      </w:r>
    </w:p>
    <w:p w14:paraId="3CDAD101" w14:textId="77777777" w:rsidR="00EE1D6B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pupils have daily medical needs, Individual Health Care Plans are drawn up and sh</w:t>
      </w:r>
      <w:r w:rsidR="00EE1D6B">
        <w:rPr>
          <w:rFonts w:ascii="Times New Roman" w:hAnsi="Times New Roman" w:cs="Times New Roman"/>
          <w:sz w:val="24"/>
          <w:szCs w:val="24"/>
        </w:rPr>
        <w:t>ared with teachers and parents.</w:t>
      </w:r>
    </w:p>
    <w:p w14:paraId="3CDAD102" w14:textId="77777777" w:rsidR="00FF108D" w:rsidRPr="00EE1D6B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 Security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CDAD103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ensure that pupils understand why they do not have unsupervised access to potentially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dangerous</w:t>
      </w:r>
      <w:r w:rsidR="00FF108D">
        <w:rPr>
          <w:rFonts w:ascii="Times New Roman" w:hAnsi="Times New Roman" w:cs="Times New Roman"/>
          <w:sz w:val="24"/>
          <w:szCs w:val="24"/>
        </w:rPr>
        <w:t xml:space="preserve"> areas, such as the pond, the classrooms at break etc. </w:t>
      </w:r>
    </w:p>
    <w:p w14:paraId="3CDAD104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05" w14:textId="77777777" w:rsidR="007637F8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front door can only be released by a fob. The site is secure and checked daily</w:t>
      </w:r>
      <w:r w:rsidR="00EE1D6B">
        <w:rPr>
          <w:rFonts w:ascii="Times New Roman" w:hAnsi="Times New Roman" w:cs="Times New Roman"/>
          <w:sz w:val="24"/>
          <w:szCs w:val="24"/>
        </w:rPr>
        <w:t xml:space="preserve"> by the caretaker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37F8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chemicals and </w:t>
      </w:r>
      <w:r w:rsidR="007637F8">
        <w:rPr>
          <w:rFonts w:ascii="Times New Roman" w:hAnsi="Times New Roman" w:cs="Times New Roman"/>
          <w:sz w:val="24"/>
          <w:szCs w:val="24"/>
        </w:rPr>
        <w:t>flammables are kept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securely locked</w:t>
      </w:r>
      <w:r>
        <w:rPr>
          <w:rFonts w:ascii="Times New Roman" w:hAnsi="Times New Roman" w:cs="Times New Roman"/>
          <w:sz w:val="24"/>
          <w:szCs w:val="24"/>
        </w:rPr>
        <w:t xml:space="preserve"> and there is a separate COSHH policy with data sheets</w:t>
      </w:r>
      <w:r w:rsidR="007637F8">
        <w:rPr>
          <w:rFonts w:ascii="Times New Roman" w:hAnsi="Times New Roman" w:cs="Times New Roman"/>
          <w:sz w:val="24"/>
          <w:szCs w:val="24"/>
        </w:rPr>
        <w:t>. Pupils do not have access to the Grounds, Maintenance, Catering and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Caretaking areas of the school.</w:t>
      </w:r>
    </w:p>
    <w:p w14:paraId="3CDAD106" w14:textId="77777777" w:rsidR="00FF108D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107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 Protection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108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Child Protection policies and training for all staff form the core of our child protection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 management. Safer recruitment policies and procedures ensure that the school is not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exposed to the risk of employing staff who are barred from working with children, and are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allowed to work in the UK. By ex</w:t>
      </w:r>
      <w:r w:rsidR="00FF108D">
        <w:rPr>
          <w:rFonts w:ascii="Times New Roman" w:hAnsi="Times New Roman" w:cs="Times New Roman"/>
          <w:sz w:val="24"/>
          <w:szCs w:val="24"/>
        </w:rPr>
        <w:t>tending this regime to Governors</w:t>
      </w:r>
      <w:r>
        <w:rPr>
          <w:rFonts w:ascii="Times New Roman" w:hAnsi="Times New Roman" w:cs="Times New Roman"/>
          <w:sz w:val="24"/>
          <w:szCs w:val="24"/>
        </w:rPr>
        <w:t>, volunteers and the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 members of the households of staff who are accommodated on site, and by ensuring that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 in our community receives regular child protection training, we manage this risk to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acceptable level.</w:t>
      </w:r>
    </w:p>
    <w:p w14:paraId="3CDAD109" w14:textId="77777777" w:rsidR="00FF108D" w:rsidRDefault="00FF108D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0A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Support Areas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10B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10C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Catering and Cleaning</w:t>
      </w:r>
      <w:r>
        <w:rPr>
          <w:rFonts w:ascii="Times New Roman" w:hAnsi="Times New Roman" w:cs="Times New Roman"/>
          <w:sz w:val="24"/>
          <w:szCs w:val="24"/>
        </w:rPr>
        <w:t>: risk assessments and training are required for every item of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catering and cleaning equipment, as well as for manual handling, slips and trips and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control of substances hazardous to health (COSHH). Induction and refresher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covers risk assessments, protective equipment and safety notices.</w:t>
      </w:r>
    </w:p>
    <w:p w14:paraId="3CDAD10D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0E" w14:textId="77777777" w:rsidR="007637F8" w:rsidRDefault="007637F8" w:rsidP="00FF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Caretaking and Security</w:t>
      </w:r>
      <w:r w:rsidR="00EE1D6B">
        <w:rPr>
          <w:rFonts w:ascii="Times New Roman" w:hAnsi="Times New Roman" w:cs="Times New Roman"/>
          <w:sz w:val="24"/>
          <w:szCs w:val="24"/>
        </w:rPr>
        <w:t>: Ri</w:t>
      </w:r>
      <w:r>
        <w:rPr>
          <w:rFonts w:ascii="Times New Roman" w:hAnsi="Times New Roman" w:cs="Times New Roman"/>
          <w:sz w:val="24"/>
          <w:szCs w:val="24"/>
        </w:rPr>
        <w:t>sk assessments cover every</w:t>
      </w:r>
      <w:r w:rsidR="00FF108D">
        <w:rPr>
          <w:rFonts w:ascii="Times New Roman" w:hAnsi="Times New Roman" w:cs="Times New Roman"/>
          <w:sz w:val="24"/>
          <w:szCs w:val="24"/>
        </w:rPr>
        <w:t xml:space="preserve"> classroom. </w:t>
      </w:r>
    </w:p>
    <w:p w14:paraId="3CDAD10F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 emphasis in training is given to minimising the risk of both fire and to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 by adhering to good practice. Risk assessments also cover manual handling,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at heights, and asbestos. Induction and refresher training covers risk</w:t>
      </w:r>
      <w:r w:rsidR="00FF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assessments, protective equipment and safety notices.</w:t>
      </w:r>
      <w:r w:rsidR="00FF108D">
        <w:rPr>
          <w:rFonts w:ascii="Times New Roman" w:hAnsi="Times New Roman" w:cs="Times New Roman"/>
          <w:sz w:val="24"/>
          <w:szCs w:val="24"/>
        </w:rPr>
        <w:t xml:space="preserve"> The Caretaker has a CPD pro</w:t>
      </w:r>
      <w:r w:rsidR="00EE1D6B">
        <w:rPr>
          <w:rFonts w:ascii="Times New Roman" w:hAnsi="Times New Roman" w:cs="Times New Roman"/>
          <w:sz w:val="24"/>
          <w:szCs w:val="24"/>
        </w:rPr>
        <w:t xml:space="preserve">gramme for all these key areas and a risk assessment specific to their role. </w:t>
      </w:r>
    </w:p>
    <w:p w14:paraId="3CDAD110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1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>: risk assessments and training are required for every tool and item of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equipment, as well as for manual handling, slips and trips, working at height, lone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working, asbestos, control of contractors on site, electricity, gas, water and the control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substances hazardous to health (COSHH). Induction and refresher training covers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 assessments, safe working practices, communication and health and safety notices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protective equipment.</w:t>
      </w:r>
    </w:p>
    <w:p w14:paraId="3CDAD112" w14:textId="77777777" w:rsidR="00EE1D6B" w:rsidRPr="00C82FD6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3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Grounds</w:t>
      </w:r>
      <w:r>
        <w:rPr>
          <w:rFonts w:ascii="Times New Roman" w:hAnsi="Times New Roman" w:cs="Times New Roman"/>
          <w:sz w:val="24"/>
          <w:szCs w:val="24"/>
        </w:rPr>
        <w:t>: risk assessments and training are required for every tool and piece of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machinery, as well as for manual handling, slips and trips, working at height, lone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working, use of pesticides, storage of flammables and COSHH. Induction and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refresher training covers risk assessments, protective equipment and safety notices.</w:t>
      </w:r>
    </w:p>
    <w:p w14:paraId="3CDAD114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5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Office staff</w:t>
      </w:r>
      <w:r>
        <w:rPr>
          <w:rFonts w:ascii="Times New Roman" w:hAnsi="Times New Roman" w:cs="Times New Roman"/>
          <w:sz w:val="24"/>
          <w:szCs w:val="24"/>
        </w:rPr>
        <w:t>: risk assessments are required for the display screen equipment and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cables used by those staff (primarily office-based) who spend the majority of their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day in front of a screen.</w:t>
      </w:r>
    </w:p>
    <w:p w14:paraId="3CDAD116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7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8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9" w14:textId="77777777" w:rsidR="00C82FD6" w:rsidRDefault="00C82FD6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A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CONDUCTING A RISK ASSESSMENT</w:t>
      </w:r>
    </w:p>
    <w:p w14:paraId="3CDAD11B" w14:textId="77777777" w:rsidR="00C82FD6" w:rsidRDefault="00C82FD6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11C" w14:textId="77777777" w:rsidR="007637F8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policy at Farndon Primary</w:t>
      </w:r>
      <w:r w:rsidR="007637F8">
        <w:rPr>
          <w:rFonts w:ascii="Times New Roman" w:hAnsi="Times New Roman" w:cs="Times New Roman"/>
          <w:sz w:val="24"/>
          <w:szCs w:val="24"/>
        </w:rPr>
        <w:t xml:space="preserve"> School is not to carry out any high risk activity.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involving pupils are normally low risk. Pupils are always given a safety briefing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participating in these activities, and are expected to wear protective equipment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AD11D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1E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always employ specialists to undertake high risk tasks</w:t>
      </w:r>
      <w:r w:rsidR="00D953D3">
        <w:rPr>
          <w:rFonts w:ascii="Times New Roman" w:hAnsi="Times New Roman" w:cs="Times New Roman"/>
          <w:sz w:val="24"/>
          <w:szCs w:val="24"/>
        </w:rPr>
        <w:t xml:space="preserve"> such as on residential trips</w:t>
      </w:r>
      <w:r>
        <w:rPr>
          <w:rFonts w:ascii="Times New Roman" w:hAnsi="Times New Roman" w:cs="Times New Roman"/>
          <w:sz w:val="24"/>
          <w:szCs w:val="24"/>
        </w:rPr>
        <w:t>. Support staff may only carry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medium rated activities if they have been properly trained. All members of staff and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 are expected to wear personal protective equipment (PPE) for tasks that have been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assessed as requiring its usage.</w:t>
      </w:r>
    </w:p>
    <w:p w14:paraId="3CDAD11F" w14:textId="77777777" w:rsidR="00EE1D6B" w:rsidRDefault="00EE1D6B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D120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Specialist Risk Assessments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121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</w:t>
      </w:r>
      <w:r w:rsidR="00D953D3">
        <w:rPr>
          <w:rFonts w:ascii="Times New Roman" w:hAnsi="Times New Roman" w:cs="Times New Roman"/>
          <w:sz w:val="24"/>
          <w:szCs w:val="24"/>
        </w:rPr>
        <w:t xml:space="preserve">Bursar </w:t>
      </w:r>
      <w:r>
        <w:rPr>
          <w:rFonts w:ascii="Times New Roman" w:hAnsi="Times New Roman" w:cs="Times New Roman"/>
          <w:sz w:val="24"/>
          <w:szCs w:val="24"/>
        </w:rPr>
        <w:t>arranges for specialists to carry out the following risk</w:t>
      </w:r>
    </w:p>
    <w:p w14:paraId="3CDAD122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assessments:</w:t>
      </w:r>
    </w:p>
    <w:p w14:paraId="3CDAD123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Fire safety</w:t>
      </w:r>
    </w:p>
    <w:p w14:paraId="3CDAD124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Asbestos</w:t>
      </w:r>
    </w:p>
    <w:p w14:paraId="3CDAD125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Legionella</w:t>
      </w:r>
    </w:p>
    <w:p w14:paraId="3CDAD126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Gas safety</w:t>
      </w:r>
    </w:p>
    <w:p w14:paraId="3CDAD127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Electrical safety</w:t>
      </w:r>
    </w:p>
    <w:p w14:paraId="3CDAD128" w14:textId="77777777" w:rsidR="00D953D3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29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Reviews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12A" w14:textId="77777777" w:rsidR="007637F8" w:rsidRDefault="007637F8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risk assessments are reviewed and recorded annually or when major structural work is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planned or in the event of an accident.</w:t>
      </w:r>
      <w:r w:rsidR="00D953D3">
        <w:rPr>
          <w:rFonts w:ascii="Times New Roman" w:hAnsi="Times New Roman" w:cs="Times New Roman"/>
          <w:sz w:val="24"/>
          <w:szCs w:val="24"/>
        </w:rPr>
        <w:t xml:space="preserve"> There is a yearly plan for review for each risk assessment. </w:t>
      </w:r>
      <w:r>
        <w:rPr>
          <w:rFonts w:ascii="Times New Roman" w:hAnsi="Times New Roman" w:cs="Times New Roman"/>
          <w:sz w:val="24"/>
          <w:szCs w:val="24"/>
        </w:rPr>
        <w:t xml:space="preserve"> A separate policy on the management of health and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 describes the arrangements for regular health and safety audits of the fabric of the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school, its plant, machinery and equipment, together with its arrangements for catering and</w:t>
      </w:r>
      <w:r w:rsidR="00D9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cleaning and for water sampling.</w:t>
      </w:r>
    </w:p>
    <w:p w14:paraId="3CDAD12B" w14:textId="77777777" w:rsidR="00D953D3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2C" w14:textId="77777777" w:rsidR="007637F8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Responsibilities </w:t>
      </w:r>
      <w:r w:rsidR="007637F8">
        <w:rPr>
          <w:rFonts w:ascii="Times New Roman" w:hAnsi="Times New Roman" w:cs="Times New Roman"/>
          <w:b/>
          <w:bCs/>
          <w:sz w:val="24"/>
          <w:szCs w:val="24"/>
        </w:rPr>
        <w:t>of all Staff</w:t>
      </w:r>
      <w:r w:rsidR="00EE1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DAD12D" w14:textId="77777777" w:rsidR="007637F8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</w:t>
      </w:r>
      <w:r w:rsidR="007637F8">
        <w:rPr>
          <w:rFonts w:ascii="Times New Roman" w:hAnsi="Times New Roman" w:cs="Times New Roman"/>
          <w:sz w:val="24"/>
          <w:szCs w:val="24"/>
        </w:rPr>
        <w:t>of staff are given a thorough induction into the school’s arrangements for risk</w:t>
      </w:r>
      <w:r w:rsidR="00EE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assessments </w:t>
      </w:r>
      <w:r w:rsidR="007637F8">
        <w:rPr>
          <w:rFonts w:ascii="Times New Roman" w:hAnsi="Times New Roman" w:cs="Times New Roman"/>
          <w:sz w:val="24"/>
          <w:szCs w:val="24"/>
        </w:rPr>
        <w:t>and health and safety. Specialist training is given to those whose work requires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it. However, staff are responsible for taking reaso</w:t>
      </w:r>
      <w:r w:rsidR="00EE1D6B">
        <w:rPr>
          <w:rFonts w:ascii="Times New Roman" w:hAnsi="Times New Roman" w:cs="Times New Roman"/>
          <w:sz w:val="24"/>
          <w:szCs w:val="24"/>
        </w:rPr>
        <w:t xml:space="preserve">nable care of their own safety, </w:t>
      </w:r>
      <w:r w:rsidR="007637F8">
        <w:rPr>
          <w:rFonts w:ascii="Times New Roman" w:hAnsi="Times New Roman" w:cs="Times New Roman"/>
          <w:sz w:val="24"/>
          <w:szCs w:val="24"/>
        </w:rPr>
        <w:t>together</w:t>
      </w:r>
      <w:r w:rsidR="0070463F"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with that of pupils and visitors. They are responsible for</w:t>
      </w:r>
      <w:r>
        <w:rPr>
          <w:rFonts w:ascii="Times New Roman" w:hAnsi="Times New Roman" w:cs="Times New Roman"/>
          <w:sz w:val="24"/>
          <w:szCs w:val="24"/>
        </w:rPr>
        <w:t xml:space="preserve"> cooperating with the Headteacher</w:t>
      </w:r>
      <w:r w:rsidR="00763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School Bur</w:t>
      </w:r>
      <w:r w:rsidR="007046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637F8">
        <w:rPr>
          <w:rFonts w:ascii="Times New Roman" w:hAnsi="Times New Roman" w:cs="Times New Roman"/>
          <w:sz w:val="24"/>
          <w:szCs w:val="24"/>
        </w:rPr>
        <w:t xml:space="preserve"> and other members o</w:t>
      </w:r>
      <w:r w:rsidR="0070463F">
        <w:rPr>
          <w:rFonts w:ascii="Times New Roman" w:hAnsi="Times New Roman" w:cs="Times New Roman"/>
          <w:sz w:val="24"/>
          <w:szCs w:val="24"/>
        </w:rPr>
        <w:t>f the leadership team</w:t>
      </w:r>
      <w:r w:rsidR="007637F8">
        <w:rPr>
          <w:rFonts w:ascii="Times New Roman" w:hAnsi="Times New Roman" w:cs="Times New Roman"/>
          <w:sz w:val="24"/>
          <w:szCs w:val="24"/>
        </w:rPr>
        <w:t xml:space="preserve"> in order to </w:t>
      </w:r>
      <w:r>
        <w:rPr>
          <w:rFonts w:ascii="Times New Roman" w:hAnsi="Times New Roman" w:cs="Times New Roman"/>
          <w:sz w:val="24"/>
          <w:szCs w:val="24"/>
        </w:rPr>
        <w:t xml:space="preserve">enable the Governors </w:t>
      </w:r>
      <w:r w:rsidR="007637F8">
        <w:rPr>
          <w:rFonts w:ascii="Times New Roman" w:hAnsi="Times New Roman" w:cs="Times New Roman"/>
          <w:sz w:val="24"/>
          <w:szCs w:val="24"/>
        </w:rPr>
        <w:t>to comply with their health and safety duties. Finally, all members of staff are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F8">
        <w:rPr>
          <w:rFonts w:ascii="Times New Roman" w:hAnsi="Times New Roman" w:cs="Times New Roman"/>
          <w:sz w:val="24"/>
          <w:szCs w:val="24"/>
        </w:rPr>
        <w:t>reporting any risks or defec</w:t>
      </w:r>
      <w:r>
        <w:rPr>
          <w:rFonts w:ascii="Times New Roman" w:hAnsi="Times New Roman" w:cs="Times New Roman"/>
          <w:sz w:val="24"/>
          <w:szCs w:val="24"/>
        </w:rPr>
        <w:t>ts to the School Bursa</w:t>
      </w:r>
      <w:r w:rsidR="007637F8">
        <w:rPr>
          <w:rFonts w:ascii="Times New Roman" w:hAnsi="Times New Roman" w:cs="Times New Roman"/>
          <w:sz w:val="24"/>
          <w:szCs w:val="24"/>
        </w:rPr>
        <w:t>r.</w:t>
      </w:r>
    </w:p>
    <w:p w14:paraId="3CDAD12E" w14:textId="77777777" w:rsidR="00D953D3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2F" w14:textId="77777777" w:rsidR="00D953D3" w:rsidRDefault="00D953D3" w:rsidP="0076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D130" w14:textId="77777777" w:rsidR="00D953D3" w:rsidRDefault="007637F8" w:rsidP="007637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Reviewed by: </w:t>
      </w:r>
      <w:r w:rsidR="00D953D3">
        <w:rPr>
          <w:rFonts w:ascii="Times New Roman" w:hAnsi="Times New Roman" w:cs="Times New Roman"/>
          <w:b/>
          <w:bCs/>
          <w:sz w:val="24"/>
          <w:szCs w:val="24"/>
        </w:rPr>
        <w:t xml:space="preserve">A.J Walker   </w:t>
      </w:r>
    </w:p>
    <w:p w14:paraId="3CDAD131" w14:textId="1F0A384D" w:rsidR="00AC1057" w:rsidRDefault="00EA13CA" w:rsidP="007637F8">
      <w:r>
        <w:rPr>
          <w:rFonts w:ascii="Times New Roman" w:hAnsi="Times New Roman" w:cs="Times New Roman"/>
          <w:b/>
          <w:bCs/>
          <w:sz w:val="24"/>
          <w:szCs w:val="24"/>
        </w:rPr>
        <w:t xml:space="preserve"> Date: January 202</w:t>
      </w:r>
      <w:r w:rsidR="007D62B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sectPr w:rsidR="00AC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F5A46"/>
    <w:multiLevelType w:val="hybridMultilevel"/>
    <w:tmpl w:val="089E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EAF"/>
    <w:multiLevelType w:val="hybridMultilevel"/>
    <w:tmpl w:val="C916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F8"/>
    <w:rsid w:val="00114C36"/>
    <w:rsid w:val="0030025D"/>
    <w:rsid w:val="006C101B"/>
    <w:rsid w:val="0070463F"/>
    <w:rsid w:val="007368B7"/>
    <w:rsid w:val="007637F8"/>
    <w:rsid w:val="007D62B0"/>
    <w:rsid w:val="00952BEB"/>
    <w:rsid w:val="00AC1057"/>
    <w:rsid w:val="00B31319"/>
    <w:rsid w:val="00B62C48"/>
    <w:rsid w:val="00C82FD6"/>
    <w:rsid w:val="00D953D3"/>
    <w:rsid w:val="00EA13CA"/>
    <w:rsid w:val="00EB6461"/>
    <w:rsid w:val="00EE1D6B"/>
    <w:rsid w:val="00F14E28"/>
    <w:rsid w:val="00FC6B59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D049"/>
  <w15:docId w15:val="{F47945AE-064C-41EF-A8B2-FCC7DA05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819B-7BEB-4E1E-8E01-021D71B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sca8752273</dc:creator>
  <cp:lastModifiedBy>Farndon Primary Head</cp:lastModifiedBy>
  <cp:revision>4</cp:revision>
  <dcterms:created xsi:type="dcterms:W3CDTF">2020-02-02T14:32:00Z</dcterms:created>
  <dcterms:modified xsi:type="dcterms:W3CDTF">2022-01-31T19:36:00Z</dcterms:modified>
</cp:coreProperties>
</file>